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宁波市明洲星寓企业管理有限责任公司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10</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17</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3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8"/>
        <w:gridCol w:w="1974"/>
        <w:gridCol w:w="1039"/>
        <w:gridCol w:w="1741"/>
        <w:gridCol w:w="1763"/>
        <w:gridCol w:w="1556"/>
        <w:gridCol w:w="1013"/>
      </w:tblGrid>
      <w:tr w14:paraId="743E6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48A8FBB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序号</w:t>
            </w: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60B068B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标的名称</w:t>
            </w:r>
          </w:p>
        </w:tc>
        <w:tc>
          <w:tcPr>
            <w:tcW w:w="1004" w:type="dxa"/>
            <w:tcBorders>
              <w:top w:val="single" w:color="auto" w:sz="4" w:space="0"/>
              <w:left w:val="single" w:color="auto" w:sz="4" w:space="0"/>
              <w:bottom w:val="single" w:color="auto" w:sz="4" w:space="0"/>
              <w:right w:val="single" w:color="auto" w:sz="4" w:space="0"/>
            </w:tcBorders>
            <w:shd w:val="clear" w:color="auto" w:fill="auto"/>
            <w:vAlign w:val="center"/>
          </w:tcPr>
          <w:p w14:paraId="4390050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规划用途</w:t>
            </w:r>
          </w:p>
        </w:tc>
        <w:tc>
          <w:tcPr>
            <w:tcW w:w="1682" w:type="dxa"/>
            <w:tcBorders>
              <w:top w:val="single" w:color="auto" w:sz="4" w:space="0"/>
              <w:left w:val="single" w:color="auto" w:sz="4" w:space="0"/>
              <w:bottom w:val="single" w:color="auto" w:sz="4" w:space="0"/>
              <w:right w:val="single" w:color="auto" w:sz="4" w:space="0"/>
            </w:tcBorders>
            <w:shd w:val="clear" w:color="auto" w:fill="auto"/>
            <w:vAlign w:val="center"/>
          </w:tcPr>
          <w:p w14:paraId="29D9494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建筑面积（平方米）</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C7AE0D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2"/>
                <w:sz w:val="24"/>
                <w:szCs w:val="24"/>
                <w:lang w:val="en-US" w:eastAsia="zh-CN" w:bidi="ar"/>
              </w:rPr>
              <w:t>首年租金起始价（元/年）</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4DD2C83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保证金（元）</w:t>
            </w:r>
          </w:p>
        </w:tc>
        <w:tc>
          <w:tcPr>
            <w:tcW w:w="9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88A69">
            <w:pPr>
              <w:keepNext w:val="0"/>
              <w:keepLines w:val="0"/>
              <w:widowControl w:val="0"/>
              <w:suppressLineNumbers w:val="0"/>
              <w:spacing w:before="0" w:beforeAutospacing="0" w:after="0" w:afterAutospacing="0" w:line="260" w:lineRule="exact"/>
              <w:ind w:left="0" w:right="200"/>
              <w:jc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租期</w:t>
            </w:r>
          </w:p>
        </w:tc>
      </w:tr>
      <w:tr w14:paraId="3DAE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trPr>
        <w:tc>
          <w:tcPr>
            <w:tcW w:w="9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32F7E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w:t>
            </w:r>
          </w:p>
          <w:p w14:paraId="1FBE997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3FB8B2F">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镇海区招宝山街道车站路256号第一间前半间</w:t>
            </w:r>
          </w:p>
        </w:tc>
        <w:tc>
          <w:tcPr>
            <w:tcW w:w="10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D1F2B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商业</w:t>
            </w:r>
          </w:p>
          <w:p w14:paraId="6E11680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p>
        </w:tc>
        <w:tc>
          <w:tcPr>
            <w:tcW w:w="1682" w:type="dxa"/>
            <w:tcBorders>
              <w:top w:val="single" w:color="auto" w:sz="4" w:space="0"/>
              <w:left w:val="single" w:color="auto" w:sz="4" w:space="0"/>
              <w:bottom w:val="single" w:color="auto" w:sz="4" w:space="0"/>
              <w:right w:val="single" w:color="auto" w:sz="4" w:space="0"/>
            </w:tcBorders>
            <w:shd w:val="clear" w:color="auto" w:fill="auto"/>
            <w:vAlign w:val="center"/>
          </w:tcPr>
          <w:p w14:paraId="6C96BF2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210.42</w:t>
            </w:r>
          </w:p>
        </w:tc>
        <w:tc>
          <w:tcPr>
            <w:tcW w:w="1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E8AB9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218000</w:t>
            </w:r>
          </w:p>
        </w:tc>
        <w:tc>
          <w:tcPr>
            <w:tcW w:w="15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641B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20000</w:t>
            </w:r>
          </w:p>
        </w:tc>
        <w:tc>
          <w:tcPr>
            <w:tcW w:w="9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CE3D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3年</w:t>
            </w:r>
          </w:p>
          <w:p w14:paraId="4FE6A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p>
        </w:tc>
      </w:tr>
      <w:tr w14:paraId="1E40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trPr>
        <w:tc>
          <w:tcPr>
            <w:tcW w:w="9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87F26B">
            <w:pPr>
              <w:keepNext w:val="0"/>
              <w:keepLines w:val="0"/>
              <w:suppressLineNumbers w:val="0"/>
              <w:spacing w:before="0" w:beforeAutospacing="0" w:after="0" w:afterAutospacing="0"/>
              <w:ind w:left="0" w:right="0"/>
              <w:rPr>
                <w:rFonts w:hint="default" w:ascii="Times New Roman" w:hAnsi="Times New Roman" w:cs="Times New Roman"/>
                <w:sz w:val="24"/>
                <w:szCs w:val="24"/>
              </w:rPr>
            </w:pP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6717AF2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镇海区招宝山街道车站路256号第一间后半间</w:t>
            </w:r>
          </w:p>
        </w:tc>
        <w:tc>
          <w:tcPr>
            <w:tcW w:w="10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45B6A0">
            <w:pPr>
              <w:keepNext w:val="0"/>
              <w:keepLines w:val="0"/>
              <w:suppressLineNumbers w:val="0"/>
              <w:spacing w:before="0" w:beforeAutospacing="0" w:after="0" w:afterAutospacing="0"/>
              <w:ind w:left="0" w:right="0"/>
              <w:rPr>
                <w:rFonts w:hint="default" w:ascii="Times New Roman" w:hAnsi="Times New Roman" w:cs="Times New Roman"/>
                <w:sz w:val="24"/>
                <w:szCs w:val="24"/>
              </w:rPr>
            </w:pPr>
          </w:p>
        </w:tc>
        <w:tc>
          <w:tcPr>
            <w:tcW w:w="1682" w:type="dxa"/>
            <w:tcBorders>
              <w:top w:val="single" w:color="auto" w:sz="4" w:space="0"/>
              <w:left w:val="single" w:color="auto" w:sz="4" w:space="0"/>
              <w:bottom w:val="single" w:color="auto" w:sz="4" w:space="0"/>
              <w:right w:val="single" w:color="auto" w:sz="4" w:space="0"/>
            </w:tcBorders>
            <w:shd w:val="clear" w:color="auto" w:fill="auto"/>
            <w:vAlign w:val="center"/>
          </w:tcPr>
          <w:p w14:paraId="6A67CFC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299.37</w:t>
            </w:r>
          </w:p>
        </w:tc>
        <w:tc>
          <w:tcPr>
            <w:tcW w:w="1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BEC14">
            <w:pPr>
              <w:keepNext w:val="0"/>
              <w:keepLines w:val="0"/>
              <w:suppressLineNumbers w:val="0"/>
              <w:spacing w:before="0" w:beforeAutospacing="0" w:after="0" w:afterAutospacing="0"/>
              <w:ind w:left="0" w:right="0"/>
              <w:rPr>
                <w:rFonts w:hint="default" w:ascii="Times New Roman" w:hAnsi="Times New Roman" w:cs="Times New Roman"/>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04457">
            <w:pPr>
              <w:keepNext w:val="0"/>
              <w:keepLines w:val="0"/>
              <w:suppressLineNumbers w:val="0"/>
              <w:spacing w:before="0" w:beforeAutospacing="0" w:after="0" w:afterAutospacing="0"/>
              <w:ind w:left="0" w:right="0"/>
              <w:rPr>
                <w:rFonts w:hint="default" w:ascii="Times New Roman" w:hAnsi="Times New Roman" w:cs="Times New Roman"/>
                <w:sz w:val="24"/>
                <w:szCs w:val="24"/>
              </w:rPr>
            </w:pPr>
          </w:p>
        </w:tc>
        <w:tc>
          <w:tcPr>
            <w:tcW w:w="9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E2B3D8">
            <w:pPr>
              <w:keepNext w:val="0"/>
              <w:keepLines w:val="0"/>
              <w:suppressLineNumbers w:val="0"/>
              <w:spacing w:before="0" w:beforeAutospacing="0" w:after="0" w:afterAutospacing="0"/>
              <w:ind w:left="0" w:right="0"/>
              <w:rPr>
                <w:rFonts w:hint="default" w:ascii="Times New Roman" w:hAnsi="Times New Roman" w:cs="Times New Roman"/>
                <w:sz w:val="24"/>
                <w:szCs w:val="24"/>
              </w:rPr>
            </w:pPr>
          </w:p>
        </w:tc>
      </w:tr>
      <w:tr w14:paraId="4DB3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7345AA2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w:t>
            </w: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02BF260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镇海区招宝山街道车站路256号第四间</w:t>
            </w:r>
          </w:p>
        </w:tc>
        <w:tc>
          <w:tcPr>
            <w:tcW w:w="1004" w:type="dxa"/>
            <w:tcBorders>
              <w:top w:val="single" w:color="auto" w:sz="4" w:space="0"/>
              <w:left w:val="single" w:color="auto" w:sz="4" w:space="0"/>
              <w:bottom w:val="single" w:color="auto" w:sz="4" w:space="0"/>
              <w:right w:val="single" w:color="auto" w:sz="4" w:space="0"/>
            </w:tcBorders>
            <w:shd w:val="clear" w:color="auto" w:fill="auto"/>
            <w:vAlign w:val="center"/>
          </w:tcPr>
          <w:p w14:paraId="41F2621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商业</w:t>
            </w:r>
          </w:p>
          <w:p w14:paraId="3BCF0F3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p>
        </w:tc>
        <w:tc>
          <w:tcPr>
            <w:tcW w:w="1682" w:type="dxa"/>
            <w:tcBorders>
              <w:top w:val="single" w:color="auto" w:sz="4" w:space="0"/>
              <w:left w:val="single" w:color="auto" w:sz="4" w:space="0"/>
              <w:bottom w:val="single" w:color="auto" w:sz="4" w:space="0"/>
              <w:right w:val="single" w:color="auto" w:sz="4" w:space="0"/>
            </w:tcBorders>
            <w:shd w:val="clear" w:color="auto" w:fill="auto"/>
            <w:vAlign w:val="center"/>
          </w:tcPr>
          <w:p w14:paraId="333C1DC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24.7</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D3735C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20700</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0B29CF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1000</w:t>
            </w:r>
          </w:p>
        </w:tc>
        <w:tc>
          <w:tcPr>
            <w:tcW w:w="979" w:type="dxa"/>
            <w:tcBorders>
              <w:top w:val="single" w:color="auto" w:sz="4" w:space="0"/>
              <w:left w:val="single" w:color="auto" w:sz="4" w:space="0"/>
              <w:bottom w:val="single" w:color="auto" w:sz="4" w:space="0"/>
              <w:right w:val="single" w:color="auto" w:sz="4" w:space="0"/>
            </w:tcBorders>
            <w:shd w:val="clear" w:color="auto" w:fill="auto"/>
            <w:vAlign w:val="center"/>
          </w:tcPr>
          <w:p w14:paraId="0AF24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3年</w:t>
            </w:r>
          </w:p>
        </w:tc>
      </w:tr>
    </w:tbl>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7497429C">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注：租赁物所在房屋作为人才安居房使用，租赁物不得用于开设重油烟的餐饮如川湘菜馆、烧烤店和噪音较大的娱乐场所如棋牌室、歌舞厅、酒吧、KTV等。</w:t>
      </w:r>
    </w:p>
    <w:p w14:paraId="1B0475AA">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特别说明：浙江省二建建设集团有限公司为房屋产权单位，宁波市明洲星寓企业管理有限责任公司为房屋经营管理单位，负责上述房屋的所有招商、租赁事宜（含租赁合同签订）。</w:t>
      </w:r>
    </w:p>
    <w:p w14:paraId="126F56E2">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本次参与竞拍标的仅具有建筑消防设施检测报告和消防安全评估报告。 委托人（出租人）无法保证竞拍标的符合申请烟草专卖零售许可、彩票销售许可证、餐饮服务许可等行政许可的经营要求。 委托人（出租人）同样无法保证竞拍标的符合商业加盟的经营要求。参与竞拍的竞价人应当自行在参与竞拍前了解竞拍标的相关情况，视经营需要及要求参与竞拍。竞价人参与竞拍即视为了解知悉竞拍标的可能存在无法满足取得相关行政许可要求或商业加盟要求的情况。</w:t>
      </w:r>
    </w:p>
    <w:p w14:paraId="7AB728FB">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val="en-US" w:eastAsia="zh-CN"/>
        </w:rPr>
      </w:pPr>
      <w:r>
        <w:rPr>
          <w:rFonts w:hint="default" w:ascii="宋体" w:hAnsi="宋体" w:cs="宋体"/>
          <w:b/>
          <w:color w:val="auto"/>
          <w:sz w:val="24"/>
          <w:szCs w:val="24"/>
          <w:lang w:val="en-US" w:eastAsia="zh-CN"/>
        </w:rPr>
        <w:t>竞买人竞得竞拍标的后，不得以竞拍标的无法取得相关行政许可或者无法参与相关商业加盟为由，不履行相关竞价合同（或者租赁合同）或不承担相关违约责任。</w:t>
      </w:r>
    </w:p>
    <w:p w14:paraId="299EB7A0">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val="en-US" w:eastAsia="zh-CN"/>
        </w:rPr>
      </w:pPr>
      <w:r>
        <w:rPr>
          <w:rFonts w:hint="default" w:ascii="宋体" w:hAnsi="宋体" w:cs="宋体"/>
          <w:b/>
          <w:color w:val="auto"/>
          <w:sz w:val="24"/>
          <w:szCs w:val="24"/>
          <w:lang w:val="en-US" w:eastAsia="zh-CN"/>
        </w:rPr>
        <w:t>本标的由两个独立商铺组成，允许竞得人以本人或以本人为法人代表的企业名义将两个商铺分别与本公司签署《房屋租赁合同》。但两个商铺的《房屋租赁合同》年租金总和为竞价成交价。本公司不承担因分别签订《房屋租赁合同》可能会导致的包括但不限于工商营业执照，行业要求的经营许可执照、消防许可等其他相关许可无法申请的责任，意向报名人在报名前需事先自行与相关部门咨询沟通，宁波市明洲星寓企业管理有限责任公司对此不作相关承诺。</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1"/>
        </w:numPr>
        <w:kinsoku/>
        <w:wordWrap/>
        <w:overflowPunct/>
        <w:topLinePunct w:val="0"/>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1"/>
        </w:numPr>
        <w:kinsoku/>
        <w:wordWrap/>
        <w:overflowPunct/>
        <w:topLinePunct w:val="0"/>
        <w:autoSpaceDN/>
        <w:bidi w:val="0"/>
        <w:adjustRightInd/>
        <w:spacing w:line="360" w:lineRule="auto"/>
        <w:ind w:left="0" w:leftChars="0" w:right="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对下列</w:t>
      </w:r>
      <w:r>
        <w:rPr>
          <w:rFonts w:hint="eastAsia" w:ascii="宋体" w:hAnsi="宋体" w:eastAsia="宋体" w:cs="宋体"/>
          <w:bCs/>
          <w:color w:val="auto"/>
          <w:sz w:val="24"/>
          <w:szCs w:val="24"/>
          <w:lang w:eastAsia="zh-CN"/>
        </w:rPr>
        <w:t>竞买人及其相关联企业</w:t>
      </w:r>
      <w:r>
        <w:rPr>
          <w:rFonts w:hint="eastAsia" w:ascii="宋体" w:hAnsi="宋体" w:eastAsia="宋体" w:cs="宋体"/>
          <w:bCs/>
          <w:color w:val="auto"/>
          <w:sz w:val="24"/>
          <w:szCs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szCs w:val="24"/>
          <w:lang w:eastAsia="zh-CN"/>
        </w:rPr>
        <w:t>租赁</w:t>
      </w:r>
      <w:r>
        <w:rPr>
          <w:rFonts w:hint="eastAsia" w:ascii="宋体" w:hAnsi="宋体" w:eastAsia="宋体" w:cs="宋体"/>
          <w:bCs/>
          <w:color w:val="auto"/>
          <w:sz w:val="24"/>
          <w:szCs w:val="24"/>
        </w:rPr>
        <w:t>合同行为</w:t>
      </w:r>
      <w:r>
        <w:rPr>
          <w:rFonts w:hint="eastAsia" w:ascii="宋体" w:hAnsi="宋体" w:eastAsia="宋体" w:cs="宋体"/>
          <w:bCs/>
          <w:color w:val="auto"/>
          <w:sz w:val="24"/>
          <w:szCs w:val="24"/>
          <w:lang w:eastAsia="zh-CN"/>
        </w:rPr>
        <w:t>拒不改正引起司法纠纷的</w:t>
      </w:r>
      <w:r>
        <w:rPr>
          <w:rFonts w:hint="eastAsia" w:ascii="宋体" w:hAnsi="宋体" w:eastAsia="宋体" w:cs="宋体"/>
          <w:bCs/>
          <w:color w:val="auto"/>
          <w:sz w:val="24"/>
          <w:szCs w:val="24"/>
        </w:rPr>
        <w:t>；②、竞买人</w:t>
      </w:r>
      <w:r>
        <w:rPr>
          <w:rFonts w:hint="eastAsia" w:ascii="宋体" w:hAnsi="宋体" w:eastAsia="宋体" w:cs="宋体"/>
          <w:bCs/>
          <w:color w:val="auto"/>
          <w:sz w:val="24"/>
          <w:szCs w:val="24"/>
          <w:lang w:val="en-US" w:eastAsia="zh-CN"/>
        </w:rPr>
        <w:t>有</w:t>
      </w:r>
      <w:r>
        <w:rPr>
          <w:rFonts w:hint="eastAsia" w:ascii="宋体" w:hAnsi="宋体" w:eastAsia="宋体" w:cs="宋体"/>
          <w:bCs/>
          <w:color w:val="auto"/>
          <w:sz w:val="24"/>
          <w:szCs w:val="24"/>
        </w:rPr>
        <w:t>任何不良诚信记录与重大失信记录；③、有干扰委托人正常招租，无理取闹行为的；</w:t>
      </w:r>
    </w:p>
    <w:p w14:paraId="617F48CD">
      <w:pPr>
        <w:pStyle w:val="10"/>
        <w:keepNext w:val="0"/>
        <w:keepLines w:val="0"/>
        <w:pageBreakBefore w:val="0"/>
        <w:numPr>
          <w:ilvl w:val="0"/>
          <w:numId w:val="1"/>
        </w:numPr>
        <w:kinsoku/>
        <w:wordWrap/>
        <w:overflowPunct/>
        <w:topLinePunct w:val="0"/>
        <w:autoSpaceDN/>
        <w:bidi w:val="0"/>
        <w:adjustRightIn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4"/>
          <w:szCs w:val="24"/>
          <w:highlight w:val="none"/>
          <w:lang w:eastAsia="zh-CN"/>
        </w:rPr>
      </w:pPr>
      <w:r>
        <w:rPr>
          <w:rFonts w:hint="eastAsia"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报名</w:t>
      </w:r>
      <w:r>
        <w:rPr>
          <w:rFonts w:hint="eastAsia" w:ascii="宋体" w:hAnsi="宋体" w:eastAsia="宋体" w:cs="宋体"/>
          <w:color w:val="auto"/>
          <w:sz w:val="24"/>
          <w:szCs w:val="24"/>
        </w:rPr>
        <w:t>办法：</w:t>
      </w:r>
      <w:r>
        <w:rPr>
          <w:rFonts w:hint="eastAsia" w:ascii="宋体" w:hAnsi="宋体" w:eastAsia="宋体" w:cs="宋体"/>
          <w:bCs/>
          <w:color w:val="auto"/>
          <w:kern w:val="2"/>
          <w:sz w:val="24"/>
          <w:szCs w:val="24"/>
          <w:lang w:val="en-US" w:eastAsia="zh-CN" w:bidi="ar-SA"/>
        </w:rPr>
        <w:t>竞买人应</w:t>
      </w:r>
      <w:r>
        <w:rPr>
          <w:rFonts w:hint="eastAsia" w:ascii="宋体" w:hAnsi="宋体" w:eastAsia="宋体" w:cs="宋体"/>
          <w:bCs/>
          <w:color w:val="auto"/>
          <w:kern w:val="2"/>
          <w:sz w:val="24"/>
          <w:szCs w:val="24"/>
          <w:highlight w:val="none"/>
          <w:lang w:val="en-US" w:eastAsia="zh-CN" w:bidi="ar-SA"/>
        </w:rPr>
        <w:t>于202</w:t>
      </w:r>
      <w:r>
        <w:rPr>
          <w:rFonts w:hint="eastAsia" w:cs="宋体"/>
          <w:bCs/>
          <w:color w:val="auto"/>
          <w:kern w:val="2"/>
          <w:sz w:val="24"/>
          <w:szCs w:val="24"/>
          <w:highlight w:val="none"/>
          <w:lang w:val="en-US" w:eastAsia="zh-CN" w:bidi="ar-SA"/>
        </w:rPr>
        <w:t>5</w:t>
      </w:r>
      <w:r>
        <w:rPr>
          <w:rFonts w:hint="eastAsia" w:ascii="宋体" w:hAnsi="宋体" w:eastAsia="宋体" w:cs="宋体"/>
          <w:bCs/>
          <w:color w:val="auto"/>
          <w:kern w:val="2"/>
          <w:sz w:val="24"/>
          <w:szCs w:val="24"/>
          <w:highlight w:val="none"/>
          <w:lang w:val="en-US" w:eastAsia="zh-CN" w:bidi="ar-SA"/>
        </w:rPr>
        <w:t>年</w:t>
      </w:r>
      <w:r>
        <w:rPr>
          <w:rFonts w:hint="eastAsia" w:cs="宋体"/>
          <w:bCs/>
          <w:color w:val="auto"/>
          <w:kern w:val="2"/>
          <w:sz w:val="24"/>
          <w:szCs w:val="24"/>
          <w:highlight w:val="none"/>
          <w:lang w:val="en-US" w:eastAsia="zh-CN" w:bidi="ar-SA"/>
        </w:rPr>
        <w:t>10</w:t>
      </w:r>
      <w:r>
        <w:rPr>
          <w:rFonts w:hint="eastAsia" w:ascii="宋体" w:hAnsi="宋体" w:eastAsia="宋体" w:cs="宋体"/>
          <w:bCs/>
          <w:color w:val="auto"/>
          <w:kern w:val="2"/>
          <w:sz w:val="24"/>
          <w:szCs w:val="24"/>
          <w:highlight w:val="none"/>
          <w:lang w:val="en-US" w:eastAsia="zh-CN" w:bidi="ar-SA"/>
        </w:rPr>
        <w:t>月</w:t>
      </w:r>
      <w:r>
        <w:rPr>
          <w:rFonts w:hint="eastAsia" w:cs="宋体"/>
          <w:bCs/>
          <w:color w:val="auto"/>
          <w:kern w:val="2"/>
          <w:sz w:val="24"/>
          <w:szCs w:val="24"/>
          <w:highlight w:val="none"/>
          <w:lang w:val="en-US" w:eastAsia="zh-CN" w:bidi="ar-SA"/>
        </w:rPr>
        <w:t>16</w:t>
      </w:r>
      <w:r>
        <w:rPr>
          <w:rFonts w:hint="eastAsia" w:ascii="宋体" w:hAnsi="宋体" w:eastAsia="宋体" w:cs="宋体"/>
          <w:bCs/>
          <w:color w:val="auto"/>
          <w:kern w:val="2"/>
          <w:sz w:val="24"/>
          <w:szCs w:val="24"/>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 w:val="24"/>
          <w:szCs w:val="24"/>
          <w:highlight w:val="none"/>
        </w:rPr>
        <w:t>竞</w:t>
      </w:r>
      <w:r>
        <w:rPr>
          <w:rFonts w:hint="eastAsia" w:cs="宋体"/>
          <w:bCs/>
          <w:color w:val="auto"/>
          <w:kern w:val="2"/>
          <w:sz w:val="24"/>
          <w:szCs w:val="24"/>
          <w:highlight w:val="none"/>
          <w:lang w:eastAsia="zh-CN"/>
        </w:rPr>
        <w:t>价</w:t>
      </w:r>
      <w:r>
        <w:rPr>
          <w:rFonts w:cs="宋体"/>
          <w:bCs/>
          <w:color w:val="auto"/>
          <w:kern w:val="2"/>
          <w:sz w:val="24"/>
          <w:szCs w:val="24"/>
          <w:highlight w:val="none"/>
        </w:rPr>
        <w:t>保证金汇入指定账户户名(宁波市镇海产权服务中心有限公司，开户银行：宁波银行股份有限公司镇海支行，账号：52010122001150460)</w:t>
      </w:r>
      <w:r>
        <w:rPr>
          <w:rFonts w:hint="eastAsia" w:cs="宋体"/>
          <w:bCs/>
          <w:color w:val="auto"/>
          <w:kern w:val="2"/>
          <w:sz w:val="24"/>
          <w:szCs w:val="24"/>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、展示看样：</w:t>
      </w:r>
      <w:r>
        <w:rPr>
          <w:rFonts w:hint="eastAsia" w:ascii="宋体" w:hAnsi="宋体" w:eastAsia="宋体" w:cs="宋体"/>
          <w:color w:val="auto"/>
          <w:sz w:val="24"/>
          <w:szCs w:val="24"/>
          <w:highlight w:val="none"/>
        </w:rPr>
        <w:t>即日起至20</w:t>
      </w: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szCs w:val="24"/>
        </w:rPr>
        <w:t>”图片展示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竞买人可与</w:t>
      </w:r>
      <w:r>
        <w:rPr>
          <w:rFonts w:hint="eastAsia" w:ascii="宋体" w:hAnsi="宋体" w:eastAsia="宋体" w:cs="宋体"/>
          <w:color w:val="auto"/>
          <w:sz w:val="24"/>
          <w:szCs w:val="24"/>
          <w:lang w:eastAsia="zh-CN"/>
        </w:rPr>
        <w:t>本</w:t>
      </w:r>
      <w:r>
        <w:rPr>
          <w:rFonts w:hint="eastAsia" w:ascii="宋体" w:hAnsi="宋体" w:eastAsia="宋体" w:cs="宋体"/>
          <w:color w:val="auto"/>
          <w:sz w:val="24"/>
          <w:szCs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szCs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szCs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委托代理：</w:t>
      </w:r>
      <w:r>
        <w:rPr>
          <w:rFonts w:hint="eastAsia" w:ascii="宋体" w:hAnsi="宋体" w:eastAsia="宋体" w:cs="宋体"/>
          <w:color w:val="auto"/>
          <w:sz w:val="24"/>
          <w:szCs w:val="24"/>
        </w:rPr>
        <w:t>竞买人可以自行参加竞买，也可以委托其代理人参加竞买。如需办理授权委托，须在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szCs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szCs w:val="24"/>
          <w:lang w:val="en-US" w:eastAsia="zh-CN"/>
        </w:rPr>
        <w:t>10、</w:t>
      </w:r>
      <w:r>
        <w:rPr>
          <w:rFonts w:hint="eastAsia" w:ascii="宋体" w:hAnsi="宋体"/>
          <w:color w:val="auto"/>
          <w:sz w:val="24"/>
          <w:szCs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sz w:val="24"/>
          <w:szCs w:val="24"/>
        </w:rPr>
        <w:t>买受人于</w:t>
      </w:r>
      <w:r>
        <w:rPr>
          <w:rFonts w:hint="eastAsia" w:ascii="宋体" w:hAnsi="宋体" w:eastAsia="宋体" w:cs="宋体"/>
          <w:color w:val="auto"/>
          <w:sz w:val="24"/>
          <w:szCs w:val="24"/>
        </w:rPr>
        <w:t>竞价成交后</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个工作日内</w:t>
      </w:r>
      <w:r>
        <w:rPr>
          <w:rFonts w:hint="eastAsia" w:ascii="宋体" w:hAnsi="宋体" w:cs="宋体"/>
          <w:color w:val="auto"/>
          <w:sz w:val="24"/>
          <w:szCs w:val="24"/>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szCs w:val="24"/>
          <w:highlight w:val="none"/>
        </w:rPr>
        <w:t>买受人应于成交之日起</w:t>
      </w:r>
      <w:r>
        <w:rPr>
          <w:rFonts w:hint="eastAsia"/>
          <w:sz w:val="24"/>
          <w:szCs w:val="24"/>
          <w:highlight w:val="none"/>
          <w:lang w:val="en-US" w:eastAsia="zh-CN"/>
        </w:rPr>
        <w:t>与</w:t>
      </w:r>
      <w:r>
        <w:rPr>
          <w:rFonts w:hint="eastAsia"/>
          <w:sz w:val="24"/>
          <w:szCs w:val="24"/>
          <w:highlight w:val="none"/>
        </w:rPr>
        <w:t>委托方指定的时间</w:t>
      </w:r>
      <w:r>
        <w:rPr>
          <w:rFonts w:hint="eastAsia"/>
          <w:sz w:val="24"/>
          <w:szCs w:val="24"/>
          <w:highlight w:val="none"/>
          <w:lang w:val="en-US" w:eastAsia="zh-CN"/>
        </w:rPr>
        <w:t>内</w:t>
      </w:r>
      <w:r>
        <w:rPr>
          <w:rFonts w:hint="eastAsia"/>
          <w:sz w:val="24"/>
          <w:szCs w:val="24"/>
          <w:highlight w:val="none"/>
        </w:rPr>
        <w:t>签订《房屋租赁合同》，并在</w:t>
      </w:r>
      <w:r>
        <w:rPr>
          <w:rFonts w:hint="eastAsia"/>
          <w:bCs/>
          <w:sz w:val="24"/>
          <w:szCs w:val="24"/>
          <w:highlight w:val="none"/>
        </w:rPr>
        <w:t>房屋租赁合同签订之日起</w:t>
      </w:r>
      <w:r>
        <w:rPr>
          <w:rFonts w:hint="eastAsia"/>
          <w:bCs/>
          <w:sz w:val="24"/>
          <w:szCs w:val="24"/>
          <w:highlight w:val="none"/>
          <w:lang w:val="en-US" w:eastAsia="zh-CN"/>
        </w:rPr>
        <w:t>3</w:t>
      </w:r>
      <w:r>
        <w:rPr>
          <w:rFonts w:hint="eastAsia"/>
          <w:bCs/>
          <w:sz w:val="24"/>
          <w:szCs w:val="24"/>
          <w:highlight w:val="none"/>
        </w:rPr>
        <w:t>日</w:t>
      </w:r>
      <w:r>
        <w:rPr>
          <w:rFonts w:hint="eastAsia"/>
          <w:sz w:val="24"/>
          <w:szCs w:val="24"/>
          <w:highlight w:val="none"/>
        </w:rPr>
        <w:t>内将首</w:t>
      </w:r>
      <w:r>
        <w:rPr>
          <w:rFonts w:hint="eastAsia"/>
          <w:sz w:val="24"/>
          <w:szCs w:val="24"/>
          <w:highlight w:val="none"/>
          <w:lang w:eastAsia="zh-CN"/>
        </w:rPr>
        <w:t>期</w:t>
      </w:r>
      <w:r>
        <w:rPr>
          <w:rFonts w:hint="eastAsia"/>
          <w:sz w:val="24"/>
          <w:szCs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宁波市明洲星寓企业管理有限责任公司</w:t>
      </w:r>
      <w:r>
        <w:rPr>
          <w:rFonts w:hint="eastAsia" w:ascii="宋体" w:hAnsi="宋体" w:cs="宋体"/>
          <w:sz w:val="24"/>
          <w:szCs w:val="24"/>
          <w:u w:val="single"/>
        </w:rPr>
        <w:t>，开户银行：中国建设银行股份有限公司宁波镇海区支行，账号：33150198403600002537</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rPr>
          <w:sz w:val="24"/>
          <w:szCs w:val="24"/>
        </w:rPr>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w:t>
      </w:r>
      <w:r>
        <w:rPr>
          <w:rFonts w:hint="eastAsia" w:ascii="宋体" w:hAnsi="宋体" w:cs="宋体"/>
          <w:b/>
          <w:bCs w:val="0"/>
          <w:kern w:val="2"/>
          <w:sz w:val="24"/>
          <w:szCs w:val="24"/>
          <w:lang w:val="en-US" w:eastAsia="zh-CN" w:bidi="ar"/>
        </w:rPr>
        <w:t>毛坯</w:t>
      </w:r>
      <w:r>
        <w:rPr>
          <w:rFonts w:hint="eastAsia" w:ascii="宋体" w:hAnsi="宋体" w:eastAsia="宋体" w:cs="宋体"/>
          <w:b/>
          <w:bCs w:val="0"/>
          <w:kern w:val="2"/>
          <w:sz w:val="24"/>
          <w:szCs w:val="24"/>
          <w:lang w:val="en-US" w:eastAsia="zh-CN" w:bidi="ar"/>
        </w:rPr>
        <w:t>（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szCs w:val="24"/>
        </w:rPr>
        <w:t>竞买</w:t>
      </w:r>
      <w:r>
        <w:rPr>
          <w:rFonts w:ascii="宋体" w:hAnsi="宋体"/>
          <w:color w:val="auto"/>
          <w:sz w:val="24"/>
          <w:szCs w:val="24"/>
        </w:rPr>
        <w:t>人在</w:t>
      </w:r>
      <w:r>
        <w:rPr>
          <w:rFonts w:hint="eastAsia" w:ascii="宋体" w:hAnsi="宋体"/>
          <w:color w:val="auto"/>
          <w:sz w:val="24"/>
          <w:szCs w:val="24"/>
          <w:lang w:eastAsia="zh-CN"/>
        </w:rPr>
        <w:t>竞价</w:t>
      </w:r>
      <w:r>
        <w:rPr>
          <w:rFonts w:ascii="宋体" w:hAnsi="宋体"/>
          <w:color w:val="auto"/>
          <w:sz w:val="24"/>
          <w:szCs w:val="24"/>
        </w:rPr>
        <w:t>公告规定的展示时间内有权查验</w:t>
      </w:r>
      <w:r>
        <w:rPr>
          <w:rFonts w:hint="eastAsia" w:ascii="宋体" w:hAnsi="宋体"/>
          <w:color w:val="auto"/>
          <w:sz w:val="24"/>
          <w:szCs w:val="24"/>
          <w:lang w:eastAsia="zh-CN"/>
        </w:rPr>
        <w:t>竞价</w:t>
      </w:r>
      <w:r>
        <w:rPr>
          <w:rFonts w:ascii="宋体" w:hAnsi="宋体"/>
          <w:color w:val="auto"/>
          <w:sz w:val="24"/>
          <w:szCs w:val="24"/>
        </w:rPr>
        <w:t>标的</w:t>
      </w:r>
      <w:r>
        <w:rPr>
          <w:rFonts w:hint="eastAsia" w:ascii="宋体" w:hAnsi="宋体"/>
          <w:color w:val="auto"/>
          <w:sz w:val="24"/>
          <w:szCs w:val="24"/>
        </w:rPr>
        <w:t>物</w:t>
      </w:r>
      <w:r>
        <w:rPr>
          <w:rFonts w:ascii="宋体" w:hAnsi="宋体"/>
          <w:color w:val="auto"/>
          <w:sz w:val="24"/>
          <w:szCs w:val="24"/>
        </w:rPr>
        <w:t>，查阅有关</w:t>
      </w:r>
      <w:r>
        <w:rPr>
          <w:rFonts w:hint="eastAsia" w:ascii="宋体" w:hAnsi="宋体"/>
          <w:color w:val="auto"/>
          <w:sz w:val="24"/>
          <w:szCs w:val="24"/>
          <w:lang w:eastAsia="zh-CN"/>
        </w:rPr>
        <w:t>竞价</w:t>
      </w:r>
      <w:r>
        <w:rPr>
          <w:rFonts w:ascii="宋体" w:hAnsi="宋体"/>
          <w:color w:val="auto"/>
          <w:sz w:val="24"/>
          <w:szCs w:val="24"/>
        </w:rPr>
        <w:t>资料</w:t>
      </w:r>
      <w:r>
        <w:rPr>
          <w:rFonts w:hint="eastAsia" w:ascii="宋体" w:hAnsi="宋体"/>
          <w:color w:val="auto"/>
          <w:sz w:val="24"/>
          <w:szCs w:val="24"/>
          <w:lang w:eastAsia="zh-CN"/>
        </w:rPr>
        <w:t>（竞买人放弃该权利的视作已参与）</w:t>
      </w:r>
      <w:r>
        <w:rPr>
          <w:rFonts w:ascii="宋体" w:hAnsi="宋体"/>
          <w:color w:val="auto"/>
          <w:sz w:val="24"/>
          <w:szCs w:val="24"/>
        </w:rPr>
        <w:t>，</w:t>
      </w:r>
      <w:r>
        <w:rPr>
          <w:rFonts w:hint="eastAsia" w:ascii="宋体" w:hAnsi="宋体"/>
          <w:color w:val="auto"/>
          <w:sz w:val="24"/>
          <w:szCs w:val="24"/>
        </w:rPr>
        <w:t>竞买</w:t>
      </w:r>
      <w:r>
        <w:rPr>
          <w:rFonts w:ascii="宋体" w:hAnsi="宋体"/>
          <w:color w:val="auto"/>
          <w:sz w:val="24"/>
          <w:szCs w:val="24"/>
        </w:rPr>
        <w:t>人一经参加，即视为已认可</w:t>
      </w:r>
      <w:r>
        <w:rPr>
          <w:rFonts w:hint="eastAsia" w:ascii="宋体" w:hAnsi="宋体"/>
          <w:color w:val="auto"/>
          <w:sz w:val="24"/>
          <w:szCs w:val="24"/>
          <w:lang w:eastAsia="zh-CN"/>
        </w:rPr>
        <w:t>竞价</w:t>
      </w:r>
      <w:r>
        <w:rPr>
          <w:rFonts w:ascii="宋体" w:hAnsi="宋体"/>
          <w:color w:val="auto"/>
          <w:sz w:val="24"/>
          <w:szCs w:val="24"/>
        </w:rPr>
        <w:t>标的的现状；</w:t>
      </w:r>
      <w:r>
        <w:rPr>
          <w:rFonts w:hint="eastAsia" w:ascii="宋体" w:hAnsi="宋体"/>
          <w:color w:val="auto"/>
          <w:sz w:val="24"/>
          <w:szCs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sz w:val="24"/>
          <w:szCs w:val="24"/>
        </w:rPr>
      </w:pPr>
      <w:r>
        <w:rPr>
          <w:rFonts w:hint="eastAsia" w:ascii="宋体" w:hAnsi="宋体" w:eastAsia="宋体" w:cs="宋体"/>
          <w:kern w:val="2"/>
          <w:sz w:val="24"/>
          <w:szCs w:val="24"/>
          <w:lang w:val="en-US" w:eastAsia="zh-CN" w:bidi="ar"/>
        </w:rPr>
        <w:t>2025年9月</w:t>
      </w:r>
      <w:r>
        <w:rPr>
          <w:rFonts w:hint="eastAsia" w:ascii="宋体" w:hAnsi="宋体" w:cs="宋体"/>
          <w:kern w:val="2"/>
          <w:sz w:val="24"/>
          <w:szCs w:val="24"/>
          <w:lang w:val="en-US" w:eastAsia="zh-CN" w:bidi="ar"/>
        </w:rPr>
        <w:t>28</w:t>
      </w:r>
      <w:bookmarkStart w:id="0" w:name="_GoBack"/>
      <w:bookmarkEnd w:id="0"/>
      <w:r>
        <w:rPr>
          <w:rFonts w:hint="eastAsia" w:ascii="宋体" w:hAnsi="宋体" w:eastAsia="宋体" w:cs="宋体"/>
          <w:kern w:val="2"/>
          <w:sz w:val="24"/>
          <w:szCs w:val="24"/>
          <w:lang w:val="en-US" w:eastAsia="zh-CN" w:bidi="ar"/>
        </w:rPr>
        <w:t>日</w:t>
      </w:r>
    </w:p>
    <w:p w14:paraId="38BEE36A">
      <w:pPr>
        <w:keepNext w:val="0"/>
        <w:keepLines w:val="0"/>
        <w:pageBreakBefore w:val="0"/>
        <w:kinsoku/>
        <w:wordWrap/>
        <w:overflowPunct/>
        <w:topLinePunct w:val="0"/>
        <w:autoSpaceDN/>
        <w:bidi w:val="0"/>
        <w:adjustRightInd/>
        <w:spacing w:line="360" w:lineRule="auto"/>
        <w:ind w:left="0" w:right="0" w:firstLine="480" w:firstLineChars="200"/>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9283D76"/>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89558F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3AB012A"/>
    <w:rsid w:val="746A2D01"/>
    <w:rsid w:val="7478BF67"/>
    <w:rsid w:val="75297601"/>
    <w:rsid w:val="755B4AEE"/>
    <w:rsid w:val="75796F4B"/>
    <w:rsid w:val="76BBE103"/>
    <w:rsid w:val="76E622F1"/>
    <w:rsid w:val="77FFFEC5"/>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12570</Words>
  <Characters>13050</Characters>
  <Lines>1</Lines>
  <Paragraphs>1</Paragraphs>
  <TotalTime>7</TotalTime>
  <ScaleCrop>false</ScaleCrop>
  <LinksUpToDate>false</LinksUpToDate>
  <CharactersWithSpaces>14371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江户川嗑南瓜子</cp:lastModifiedBy>
  <dcterms:modified xsi:type="dcterms:W3CDTF">2025-09-28T01:34:52Z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